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AB18" w14:textId="7B53AAE0" w:rsidR="00A30C7A" w:rsidRPr="00D34357" w:rsidRDefault="007A04CD" w:rsidP="00D34357">
      <w:pPr>
        <w:pStyle w:val="Body"/>
        <w:spacing w:before="30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4357">
        <w:rPr>
          <w:rFonts w:ascii="Arial" w:hAnsi="Arial" w:cs="Arial"/>
          <w:b/>
          <w:bCs/>
          <w:sz w:val="24"/>
          <w:szCs w:val="24"/>
          <w:u w:val="single"/>
        </w:rPr>
        <w:t xml:space="preserve">Chemical Peel </w:t>
      </w:r>
      <w:r w:rsidR="00942590" w:rsidRPr="00D34357">
        <w:rPr>
          <w:rFonts w:ascii="Arial" w:hAnsi="Arial" w:cs="Arial"/>
          <w:b/>
          <w:bCs/>
          <w:sz w:val="24"/>
          <w:szCs w:val="24"/>
          <w:u w:val="single"/>
        </w:rPr>
        <w:t>Informed Consent</w:t>
      </w:r>
    </w:p>
    <w:p w14:paraId="42967E37" w14:textId="77777777" w:rsidR="007A04CD" w:rsidRPr="001E6CE2" w:rsidRDefault="007A04CD" w:rsidP="00D34357">
      <w:pPr>
        <w:pStyle w:val="Body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4BE4F8A" w14:textId="09A7CFAA" w:rsidR="00E13C16" w:rsidRPr="001E6CE2" w:rsidRDefault="00DC2E11" w:rsidP="00D34357">
      <w:pPr>
        <w:pStyle w:val="Body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E6CE2">
        <w:rPr>
          <w:rFonts w:ascii="Arial" w:eastAsia="Times New Roman" w:hAnsi="Arial" w:cs="Arial"/>
          <w:sz w:val="20"/>
          <w:szCs w:val="20"/>
        </w:rPr>
        <w:t xml:space="preserve">Chemical </w:t>
      </w:r>
      <w:r w:rsidR="001E6CE2">
        <w:rPr>
          <w:rFonts w:ascii="Arial" w:eastAsia="Times New Roman" w:hAnsi="Arial" w:cs="Arial"/>
          <w:sz w:val="20"/>
          <w:szCs w:val="20"/>
        </w:rPr>
        <w:t>p</w:t>
      </w:r>
      <w:r w:rsidRPr="001E6CE2">
        <w:rPr>
          <w:rFonts w:ascii="Arial" w:eastAsia="Times New Roman" w:hAnsi="Arial" w:cs="Arial"/>
          <w:sz w:val="20"/>
          <w:szCs w:val="20"/>
        </w:rPr>
        <w:t>eels are intended to remove surface layers of skin to improve the</w:t>
      </w:r>
      <w:r w:rsidR="001E6CE2">
        <w:rPr>
          <w:rFonts w:ascii="Arial" w:eastAsia="Times New Roman" w:hAnsi="Arial" w:cs="Arial"/>
          <w:sz w:val="20"/>
          <w:szCs w:val="20"/>
        </w:rPr>
        <w:t xml:space="preserve"> skin’s</w:t>
      </w:r>
      <w:r w:rsidRPr="001E6CE2">
        <w:rPr>
          <w:rFonts w:ascii="Arial" w:eastAsia="Times New Roman" w:hAnsi="Arial" w:cs="Arial"/>
          <w:sz w:val="20"/>
          <w:szCs w:val="20"/>
        </w:rPr>
        <w:t xml:space="preserve"> vitality</w:t>
      </w:r>
      <w:r w:rsidR="00613367" w:rsidRPr="001E6CE2">
        <w:rPr>
          <w:rFonts w:ascii="Arial" w:eastAsia="Times New Roman" w:hAnsi="Arial" w:cs="Arial"/>
          <w:sz w:val="20"/>
          <w:szCs w:val="20"/>
        </w:rPr>
        <w:t>.</w:t>
      </w:r>
      <w:r w:rsidR="00E13C16" w:rsidRPr="001E6CE2">
        <w:rPr>
          <w:rFonts w:ascii="Arial" w:eastAsia="Times New Roman" w:hAnsi="Arial" w:cs="Arial"/>
          <w:sz w:val="20"/>
          <w:szCs w:val="20"/>
        </w:rPr>
        <w:t xml:space="preserve"> </w:t>
      </w:r>
      <w:r w:rsidR="001E6CE2">
        <w:rPr>
          <w:rFonts w:ascii="Arial" w:eastAsia="Times New Roman" w:hAnsi="Arial" w:cs="Arial"/>
          <w:sz w:val="20"/>
          <w:szCs w:val="20"/>
        </w:rPr>
        <w:t xml:space="preserve">However, </w:t>
      </w:r>
      <w:r w:rsidR="001E6CE2">
        <w:rPr>
          <w:rFonts w:ascii="Arial" w:hAnsi="Arial" w:cs="Arial"/>
          <w:sz w:val="20"/>
          <w:szCs w:val="20"/>
        </w:rPr>
        <w:t>p</w:t>
      </w:r>
      <w:r w:rsidR="00E13C16" w:rsidRPr="001E6CE2">
        <w:rPr>
          <w:rFonts w:ascii="Arial" w:hAnsi="Arial" w:cs="Arial"/>
          <w:sz w:val="20"/>
          <w:szCs w:val="20"/>
        </w:rPr>
        <w:t>atients may or may not actually peel</w:t>
      </w:r>
      <w:r w:rsidR="001E6CE2">
        <w:rPr>
          <w:rFonts w:ascii="Arial" w:hAnsi="Arial" w:cs="Arial"/>
          <w:sz w:val="20"/>
          <w:szCs w:val="20"/>
        </w:rPr>
        <w:t>,</w:t>
      </w:r>
      <w:r w:rsidR="00E13C16" w:rsidRPr="001E6CE2">
        <w:rPr>
          <w:rFonts w:ascii="Arial" w:hAnsi="Arial" w:cs="Arial"/>
          <w:sz w:val="20"/>
          <w:szCs w:val="20"/>
        </w:rPr>
        <w:t xml:space="preserve"> and</w:t>
      </w:r>
      <w:r w:rsidR="001E6CE2">
        <w:rPr>
          <w:rFonts w:ascii="Arial" w:hAnsi="Arial" w:cs="Arial"/>
          <w:sz w:val="20"/>
          <w:szCs w:val="20"/>
        </w:rPr>
        <w:t>,</w:t>
      </w:r>
      <w:r w:rsidR="00E13C16" w:rsidRPr="001E6CE2">
        <w:rPr>
          <w:rFonts w:ascii="Arial" w:hAnsi="Arial" w:cs="Arial"/>
          <w:sz w:val="20"/>
          <w:szCs w:val="20"/>
        </w:rPr>
        <w:t xml:space="preserve"> as each case is </w:t>
      </w:r>
      <w:r w:rsidR="001E6CE2">
        <w:rPr>
          <w:rFonts w:ascii="Arial" w:hAnsi="Arial" w:cs="Arial"/>
          <w:sz w:val="20"/>
          <w:szCs w:val="20"/>
        </w:rPr>
        <w:t>individual, t</w:t>
      </w:r>
      <w:r w:rsidR="00E13C16" w:rsidRPr="001E6CE2">
        <w:rPr>
          <w:rFonts w:ascii="Arial" w:hAnsi="Arial" w:cs="Arial"/>
          <w:sz w:val="20"/>
          <w:szCs w:val="20"/>
        </w:rPr>
        <w:t>he amount of peeling does not correlate with</w:t>
      </w:r>
      <w:r w:rsidR="001E6CE2">
        <w:rPr>
          <w:rFonts w:ascii="Arial" w:hAnsi="Arial" w:cs="Arial"/>
          <w:sz w:val="20"/>
          <w:szCs w:val="20"/>
        </w:rPr>
        <w:t xml:space="preserve"> the</w:t>
      </w:r>
      <w:r w:rsidR="00E13C16" w:rsidRPr="001E6CE2">
        <w:rPr>
          <w:rFonts w:ascii="Arial" w:hAnsi="Arial" w:cs="Arial"/>
          <w:sz w:val="20"/>
          <w:szCs w:val="20"/>
        </w:rPr>
        <w:t xml:space="preserve"> degree of improvement. </w:t>
      </w:r>
      <w:r w:rsidR="00E13C16" w:rsidRPr="001E6CE2">
        <w:rPr>
          <w:rFonts w:ascii="Arial" w:eastAsia="Times New Roman" w:hAnsi="Arial" w:cs="Arial"/>
          <w:sz w:val="20"/>
          <w:szCs w:val="20"/>
        </w:rPr>
        <w:t xml:space="preserve">Follow-up treatments may be necessary for desired results. Most patients require </w:t>
      </w:r>
      <w:proofErr w:type="gramStart"/>
      <w:r w:rsidR="00E13C16" w:rsidRPr="001E6CE2">
        <w:rPr>
          <w:rFonts w:ascii="Arial" w:eastAsia="Times New Roman" w:hAnsi="Arial" w:cs="Arial"/>
          <w:sz w:val="20"/>
          <w:szCs w:val="20"/>
        </w:rPr>
        <w:t>a number of</w:t>
      </w:r>
      <w:proofErr w:type="gramEnd"/>
      <w:r w:rsidR="00E13C16" w:rsidRPr="001E6CE2">
        <w:rPr>
          <w:rFonts w:ascii="Arial" w:eastAsia="Times New Roman" w:hAnsi="Arial" w:cs="Arial"/>
          <w:sz w:val="20"/>
          <w:szCs w:val="20"/>
        </w:rPr>
        <w:t xml:space="preserve"> treatments over several months. Results </w:t>
      </w:r>
      <w:r w:rsidR="00E13C16" w:rsidRPr="001E6CE2">
        <w:rPr>
          <w:rFonts w:ascii="Arial" w:hAnsi="Arial" w:cs="Arial"/>
          <w:sz w:val="20"/>
          <w:szCs w:val="20"/>
        </w:rPr>
        <w:t xml:space="preserve">of this treatment can be </w:t>
      </w:r>
      <w:r w:rsidR="001E6CE2">
        <w:rPr>
          <w:rFonts w:ascii="Arial" w:hAnsi="Arial" w:cs="Arial"/>
          <w:sz w:val="20"/>
          <w:szCs w:val="20"/>
        </w:rPr>
        <w:t>a</w:t>
      </w:r>
      <w:r w:rsidR="00E13C16" w:rsidRPr="001E6CE2">
        <w:rPr>
          <w:rFonts w:ascii="Arial" w:hAnsi="Arial" w:cs="Arial"/>
          <w:sz w:val="20"/>
          <w:szCs w:val="20"/>
        </w:rPr>
        <w:t xml:space="preserve">ffected by many variables, such as age, </w:t>
      </w:r>
      <w:r w:rsidR="001E6CE2">
        <w:rPr>
          <w:rFonts w:ascii="Arial" w:hAnsi="Arial" w:cs="Arial"/>
          <w:sz w:val="20"/>
          <w:szCs w:val="20"/>
        </w:rPr>
        <w:t xml:space="preserve">the </w:t>
      </w:r>
      <w:r w:rsidR="00E13C16" w:rsidRPr="001E6CE2">
        <w:rPr>
          <w:rFonts w:ascii="Arial" w:hAnsi="Arial" w:cs="Arial"/>
          <w:sz w:val="20"/>
          <w:szCs w:val="20"/>
        </w:rPr>
        <w:t>condition of</w:t>
      </w:r>
      <w:r w:rsidR="001E6CE2">
        <w:rPr>
          <w:rFonts w:ascii="Arial" w:hAnsi="Arial" w:cs="Arial"/>
          <w:sz w:val="20"/>
          <w:szCs w:val="20"/>
        </w:rPr>
        <w:t xml:space="preserve"> the</w:t>
      </w:r>
      <w:r w:rsidR="00E13C16" w:rsidRPr="001E6CE2">
        <w:rPr>
          <w:rFonts w:ascii="Arial" w:hAnsi="Arial" w:cs="Arial"/>
          <w:sz w:val="20"/>
          <w:szCs w:val="20"/>
        </w:rPr>
        <w:t xml:space="preserve"> skin, sun damage, smoking, climate, etc.</w:t>
      </w:r>
    </w:p>
    <w:p w14:paraId="2530B292" w14:textId="128EFE14" w:rsidR="00E13C16" w:rsidRPr="001E6CE2" w:rsidRDefault="00E13C16" w:rsidP="00D34357">
      <w:pPr>
        <w:pStyle w:val="Body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A1F494" w14:textId="4CD356E2" w:rsidR="002464A0" w:rsidRPr="002464A0" w:rsidRDefault="002464A0" w:rsidP="00D34357">
      <w:pPr>
        <w:pStyle w:val="Body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64A0">
        <w:rPr>
          <w:rFonts w:ascii="Arial" w:hAnsi="Arial" w:cs="Arial"/>
          <w:b/>
          <w:bCs/>
          <w:sz w:val="20"/>
          <w:szCs w:val="20"/>
          <w:u w:val="single"/>
        </w:rPr>
        <w:t>Contraindications</w:t>
      </w:r>
    </w:p>
    <w:p w14:paraId="77B8FA55" w14:textId="50B66087" w:rsidR="009B4C4A" w:rsidRDefault="00613367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CE2">
        <w:rPr>
          <w:rFonts w:ascii="Arial" w:hAnsi="Arial" w:cs="Arial"/>
          <w:sz w:val="20"/>
          <w:szCs w:val="20"/>
        </w:rPr>
        <w:t>There are a few contraindications</w:t>
      </w:r>
      <w:r w:rsidR="009B4C4A">
        <w:rPr>
          <w:rFonts w:ascii="Arial" w:hAnsi="Arial" w:cs="Arial"/>
          <w:sz w:val="20"/>
          <w:szCs w:val="20"/>
        </w:rPr>
        <w:t xml:space="preserve"> for this procedure,</w:t>
      </w:r>
      <w:r w:rsidRPr="001E6CE2">
        <w:rPr>
          <w:rFonts w:ascii="Arial" w:hAnsi="Arial" w:cs="Arial"/>
          <w:sz w:val="20"/>
          <w:szCs w:val="20"/>
        </w:rPr>
        <w:t xml:space="preserve"> and patients with </w:t>
      </w:r>
      <w:r w:rsidR="009B4C4A">
        <w:rPr>
          <w:rFonts w:ascii="Arial" w:hAnsi="Arial" w:cs="Arial"/>
          <w:sz w:val="20"/>
          <w:szCs w:val="20"/>
        </w:rPr>
        <w:t>several</w:t>
      </w:r>
      <w:r w:rsidRPr="001E6CE2">
        <w:rPr>
          <w:rFonts w:ascii="Arial" w:hAnsi="Arial" w:cs="Arial"/>
          <w:sz w:val="20"/>
          <w:szCs w:val="20"/>
        </w:rPr>
        <w:t xml:space="preserve"> conditions may not be good candidates</w:t>
      </w:r>
      <w:r w:rsidR="009B4C4A">
        <w:rPr>
          <w:rFonts w:ascii="Arial" w:hAnsi="Arial" w:cs="Arial"/>
          <w:sz w:val="20"/>
          <w:szCs w:val="20"/>
        </w:rPr>
        <w:t>;</w:t>
      </w:r>
      <w:r w:rsidRPr="001E6CE2">
        <w:rPr>
          <w:rFonts w:ascii="Arial" w:hAnsi="Arial" w:cs="Arial"/>
          <w:sz w:val="20"/>
          <w:szCs w:val="20"/>
        </w:rPr>
        <w:t xml:space="preserve"> </w:t>
      </w:r>
      <w:r w:rsidR="009B4C4A">
        <w:rPr>
          <w:rFonts w:ascii="Arial" w:hAnsi="Arial" w:cs="Arial"/>
          <w:sz w:val="20"/>
          <w:szCs w:val="20"/>
        </w:rPr>
        <w:t>i</w:t>
      </w:r>
      <w:r w:rsidRPr="001E6CE2">
        <w:rPr>
          <w:rFonts w:ascii="Arial" w:hAnsi="Arial" w:cs="Arial"/>
          <w:sz w:val="20"/>
          <w:szCs w:val="20"/>
        </w:rPr>
        <w:t>nform your provider is you have had any of the following conditions:</w:t>
      </w:r>
    </w:p>
    <w:p w14:paraId="5D2BE007" w14:textId="77777777" w:rsidR="009B4C4A" w:rsidRDefault="009B4C4A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3AB8AC" w14:textId="77777777" w:rsidR="009B4C4A" w:rsidRDefault="009B4C4A" w:rsidP="00D34357">
      <w:pPr>
        <w:pStyle w:val="Bod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A04CD" w:rsidRPr="001E6CE2">
        <w:rPr>
          <w:rFonts w:ascii="Arial" w:hAnsi="Arial" w:cs="Arial"/>
          <w:sz w:val="20"/>
          <w:szCs w:val="20"/>
        </w:rPr>
        <w:t>regnancy (if so, consult your phy</w:t>
      </w:r>
      <w:r>
        <w:rPr>
          <w:rFonts w:ascii="Arial" w:hAnsi="Arial" w:cs="Arial"/>
          <w:sz w:val="20"/>
          <w:szCs w:val="20"/>
        </w:rPr>
        <w:t>s</w:t>
      </w:r>
      <w:r w:rsidR="007A04CD" w:rsidRPr="001E6CE2">
        <w:rPr>
          <w:rFonts w:ascii="Arial" w:hAnsi="Arial" w:cs="Arial"/>
          <w:sz w:val="20"/>
          <w:szCs w:val="20"/>
        </w:rPr>
        <w:t>ician prior to treatment</w:t>
      </w:r>
      <w:proofErr w:type="gramStart"/>
      <w:r w:rsidR="007A04CD" w:rsidRPr="001E6CE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5DC1D1CA" w14:textId="77777777" w:rsidR="009B4C4A" w:rsidRDefault="009B4C4A" w:rsidP="00D34357">
      <w:pPr>
        <w:pStyle w:val="Bod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A04CD" w:rsidRPr="001E6CE2">
        <w:rPr>
          <w:rFonts w:ascii="Arial" w:hAnsi="Arial" w:cs="Arial"/>
          <w:sz w:val="20"/>
          <w:szCs w:val="20"/>
        </w:rPr>
        <w:t xml:space="preserve">ecent facial </w:t>
      </w:r>
      <w:proofErr w:type="gramStart"/>
      <w:r w:rsidR="007A04CD" w:rsidRPr="001E6CE2">
        <w:rPr>
          <w:rFonts w:ascii="Arial" w:hAnsi="Arial" w:cs="Arial"/>
          <w:sz w:val="20"/>
          <w:szCs w:val="20"/>
        </w:rPr>
        <w:t>surgery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2FE6DC4E" w14:textId="77777777" w:rsidR="009B4C4A" w:rsidRDefault="009B4C4A" w:rsidP="00D34357">
      <w:pPr>
        <w:pStyle w:val="Bod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r w:rsidR="007A04CD" w:rsidRPr="001E6CE2">
        <w:rPr>
          <w:rFonts w:ascii="Arial" w:hAnsi="Arial" w:cs="Arial"/>
          <w:sz w:val="20"/>
          <w:szCs w:val="20"/>
        </w:rPr>
        <w:t>llergies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6CD4219A" w14:textId="673051D6" w:rsidR="009B4C4A" w:rsidRDefault="009B4C4A" w:rsidP="00D34357">
      <w:pPr>
        <w:pStyle w:val="Bod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</w:t>
      </w:r>
      <w:r w:rsidR="007A04CD" w:rsidRPr="001E6CE2">
        <w:rPr>
          <w:rFonts w:ascii="Arial" w:hAnsi="Arial" w:cs="Arial"/>
          <w:sz w:val="20"/>
          <w:szCs w:val="20"/>
        </w:rPr>
        <w:t>endency to</w:t>
      </w:r>
      <w:r>
        <w:rPr>
          <w:rFonts w:ascii="Arial" w:hAnsi="Arial" w:cs="Arial"/>
          <w:sz w:val="20"/>
          <w:szCs w:val="20"/>
        </w:rPr>
        <w:t xml:space="preserve"> devel</w:t>
      </w:r>
      <w:r w:rsidR="005E17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</w:t>
      </w:r>
      <w:r w:rsidR="007A04CD" w:rsidRPr="001E6CE2">
        <w:rPr>
          <w:rFonts w:ascii="Arial" w:hAnsi="Arial" w:cs="Arial"/>
          <w:sz w:val="20"/>
          <w:szCs w:val="20"/>
        </w:rPr>
        <w:t xml:space="preserve"> cold sores</w:t>
      </w:r>
      <w:r>
        <w:rPr>
          <w:rFonts w:ascii="Arial" w:hAnsi="Arial" w:cs="Arial"/>
          <w:sz w:val="20"/>
          <w:szCs w:val="20"/>
        </w:rPr>
        <w:t xml:space="preserve"> or</w:t>
      </w:r>
      <w:r w:rsidR="007A04CD" w:rsidRPr="001E6CE2">
        <w:rPr>
          <w:rFonts w:ascii="Arial" w:hAnsi="Arial" w:cs="Arial"/>
          <w:sz w:val="20"/>
          <w:szCs w:val="20"/>
        </w:rPr>
        <w:t xml:space="preserve"> fever blisters</w:t>
      </w:r>
      <w:r>
        <w:rPr>
          <w:rFonts w:ascii="Arial" w:hAnsi="Arial" w:cs="Arial"/>
          <w:sz w:val="20"/>
          <w:szCs w:val="20"/>
        </w:rPr>
        <w:t>;</w:t>
      </w:r>
      <w:r w:rsidR="007A04CD" w:rsidRPr="001E6CE2">
        <w:rPr>
          <w:rFonts w:ascii="Arial" w:hAnsi="Arial" w:cs="Arial"/>
          <w:sz w:val="20"/>
          <w:szCs w:val="20"/>
        </w:rPr>
        <w:t xml:space="preserve"> or</w:t>
      </w:r>
    </w:p>
    <w:p w14:paraId="5D0A5160" w14:textId="77777777" w:rsidR="009B4C4A" w:rsidRDefault="009B4C4A" w:rsidP="00D34357">
      <w:pPr>
        <w:pStyle w:val="Bod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A04CD" w:rsidRPr="001E6CE2">
        <w:rPr>
          <w:rFonts w:ascii="Arial" w:hAnsi="Arial" w:cs="Arial"/>
          <w:sz w:val="20"/>
          <w:szCs w:val="20"/>
        </w:rPr>
        <w:t>se of topical and/or oral prescription medications</w:t>
      </w:r>
      <w:r>
        <w:rPr>
          <w:rFonts w:ascii="Arial" w:hAnsi="Arial" w:cs="Arial"/>
          <w:sz w:val="20"/>
          <w:szCs w:val="20"/>
        </w:rPr>
        <w:t>,</w:t>
      </w:r>
      <w:r w:rsidR="007A04CD" w:rsidRPr="001E6CE2">
        <w:rPr>
          <w:rFonts w:ascii="Arial" w:hAnsi="Arial" w:cs="Arial"/>
          <w:sz w:val="20"/>
          <w:szCs w:val="20"/>
        </w:rPr>
        <w:t xml:space="preserve"> such as:</w:t>
      </w:r>
    </w:p>
    <w:p w14:paraId="57C508AE" w14:textId="77777777" w:rsidR="009B4C4A" w:rsidRDefault="009B4C4A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</w:t>
      </w:r>
      <w:r w:rsidR="007A04CD" w:rsidRPr="001E6CE2">
        <w:rPr>
          <w:rFonts w:ascii="Arial" w:hAnsi="Arial" w:cs="Arial"/>
          <w:sz w:val="20"/>
          <w:szCs w:val="20"/>
        </w:rPr>
        <w:t>retinoin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599D6E94" w14:textId="77777777" w:rsidR="009B4C4A" w:rsidRDefault="007A04CD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CE2">
        <w:rPr>
          <w:rFonts w:ascii="Arial" w:hAnsi="Arial" w:cs="Arial"/>
          <w:sz w:val="20"/>
          <w:szCs w:val="20"/>
        </w:rPr>
        <w:t xml:space="preserve">Retin- </w:t>
      </w:r>
      <w:proofErr w:type="gramStart"/>
      <w:r w:rsidRPr="001E6CE2">
        <w:rPr>
          <w:rFonts w:ascii="Arial" w:hAnsi="Arial" w:cs="Arial"/>
          <w:sz w:val="20"/>
          <w:szCs w:val="20"/>
        </w:rPr>
        <w:t>A</w:t>
      </w:r>
      <w:r w:rsidR="009B4C4A">
        <w:rPr>
          <w:rFonts w:ascii="Arial" w:hAnsi="Arial" w:cs="Arial"/>
          <w:sz w:val="20"/>
          <w:szCs w:val="20"/>
        </w:rPr>
        <w:t>;</w:t>
      </w:r>
      <w:proofErr w:type="gramEnd"/>
    </w:p>
    <w:p w14:paraId="539D0C3F" w14:textId="77777777" w:rsidR="009B4C4A" w:rsidRDefault="007A04CD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E6CE2">
        <w:rPr>
          <w:rFonts w:ascii="Arial" w:hAnsi="Arial" w:cs="Arial"/>
          <w:sz w:val="20"/>
          <w:szCs w:val="20"/>
        </w:rPr>
        <w:t>Accutane</w:t>
      </w:r>
      <w:r w:rsidR="009B4C4A">
        <w:rPr>
          <w:rFonts w:ascii="Arial" w:hAnsi="Arial" w:cs="Arial"/>
          <w:sz w:val="20"/>
          <w:szCs w:val="20"/>
        </w:rPr>
        <w:t>;</w:t>
      </w:r>
      <w:proofErr w:type="gramEnd"/>
    </w:p>
    <w:p w14:paraId="0923F0CC" w14:textId="77777777" w:rsidR="009B4C4A" w:rsidRDefault="007A04CD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E6CE2">
        <w:rPr>
          <w:rFonts w:ascii="Arial" w:hAnsi="Arial" w:cs="Arial"/>
          <w:sz w:val="20"/>
          <w:szCs w:val="20"/>
        </w:rPr>
        <w:t>Differin</w:t>
      </w:r>
      <w:r w:rsidR="009B4C4A">
        <w:rPr>
          <w:rFonts w:ascii="Arial" w:hAnsi="Arial" w:cs="Arial"/>
          <w:sz w:val="20"/>
          <w:szCs w:val="20"/>
        </w:rPr>
        <w:t>;</w:t>
      </w:r>
      <w:proofErr w:type="gramEnd"/>
    </w:p>
    <w:p w14:paraId="75D4F9E9" w14:textId="77777777" w:rsidR="009B4C4A" w:rsidRDefault="007A04CD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E6CE2">
        <w:rPr>
          <w:rFonts w:ascii="Arial" w:hAnsi="Arial" w:cs="Arial"/>
          <w:sz w:val="20"/>
          <w:szCs w:val="20"/>
        </w:rPr>
        <w:t>Tazorac</w:t>
      </w:r>
      <w:proofErr w:type="spellEnd"/>
      <w:r w:rsidR="009B4C4A">
        <w:rPr>
          <w:rFonts w:ascii="Arial" w:hAnsi="Arial" w:cs="Arial"/>
          <w:sz w:val="20"/>
          <w:szCs w:val="20"/>
        </w:rPr>
        <w:t>;</w:t>
      </w:r>
      <w:proofErr w:type="gramEnd"/>
    </w:p>
    <w:p w14:paraId="47B47D42" w14:textId="77777777" w:rsidR="009B4C4A" w:rsidRDefault="007A04CD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E6CE2">
        <w:rPr>
          <w:rFonts w:ascii="Arial" w:hAnsi="Arial" w:cs="Arial"/>
          <w:sz w:val="20"/>
          <w:szCs w:val="20"/>
        </w:rPr>
        <w:t>Avage</w:t>
      </w:r>
      <w:proofErr w:type="spellEnd"/>
      <w:r w:rsidR="009B4C4A">
        <w:rPr>
          <w:rFonts w:ascii="Arial" w:hAnsi="Arial" w:cs="Arial"/>
          <w:sz w:val="20"/>
          <w:szCs w:val="20"/>
        </w:rPr>
        <w:t>;</w:t>
      </w:r>
      <w:proofErr w:type="gramEnd"/>
    </w:p>
    <w:p w14:paraId="2513428A" w14:textId="77777777" w:rsidR="009B4C4A" w:rsidRDefault="007A04CD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6CE2">
        <w:rPr>
          <w:rFonts w:ascii="Arial" w:hAnsi="Arial" w:cs="Arial"/>
          <w:sz w:val="20"/>
          <w:szCs w:val="20"/>
        </w:rPr>
        <w:t>EpiDuo</w:t>
      </w:r>
      <w:proofErr w:type="spellEnd"/>
      <w:r w:rsidR="009B4C4A">
        <w:rPr>
          <w:rFonts w:ascii="Arial" w:hAnsi="Arial" w:cs="Arial"/>
          <w:sz w:val="20"/>
          <w:szCs w:val="20"/>
        </w:rPr>
        <w:t>;</w:t>
      </w:r>
      <w:r w:rsidRPr="001E6CE2">
        <w:rPr>
          <w:rFonts w:ascii="Arial" w:hAnsi="Arial" w:cs="Arial"/>
          <w:sz w:val="20"/>
          <w:szCs w:val="20"/>
        </w:rPr>
        <w:t xml:space="preserve"> or</w:t>
      </w:r>
    </w:p>
    <w:p w14:paraId="2274E70A" w14:textId="24E5F5CB" w:rsidR="007A04CD" w:rsidRPr="001E6CE2" w:rsidRDefault="007A04CD" w:rsidP="00D34357">
      <w:pPr>
        <w:pStyle w:val="Body"/>
        <w:numPr>
          <w:ilvl w:val="1"/>
          <w:numId w:val="2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E6CE2">
        <w:rPr>
          <w:rFonts w:ascii="Arial" w:hAnsi="Arial" w:cs="Arial"/>
          <w:sz w:val="20"/>
          <w:szCs w:val="20"/>
        </w:rPr>
        <w:t xml:space="preserve">Ziana. </w:t>
      </w:r>
    </w:p>
    <w:p w14:paraId="79D0230D" w14:textId="66C55CD1" w:rsidR="007A04CD" w:rsidRPr="001E6CE2" w:rsidRDefault="007A04CD" w:rsidP="00D34357">
      <w:pPr>
        <w:pStyle w:val="Body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FF32B5D" w14:textId="7D4EC76F" w:rsidR="002464A0" w:rsidRPr="002464A0" w:rsidRDefault="002464A0" w:rsidP="00D34357">
      <w:pPr>
        <w:pStyle w:val="Body"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2464A0">
        <w:rPr>
          <w:rFonts w:ascii="Arial" w:eastAsia="Times New Roman" w:hAnsi="Arial" w:cs="Arial"/>
          <w:b/>
          <w:bCs/>
          <w:sz w:val="20"/>
          <w:szCs w:val="20"/>
          <w:u w:val="single"/>
        </w:rPr>
        <w:t>Risks and possible side-effects</w:t>
      </w:r>
    </w:p>
    <w:p w14:paraId="03CEC421" w14:textId="62B90B4B" w:rsidR="00613367" w:rsidRPr="001E6CE2" w:rsidRDefault="00613367" w:rsidP="00D34357">
      <w:pPr>
        <w:pStyle w:val="Body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E6CE2">
        <w:rPr>
          <w:rFonts w:ascii="Arial" w:eastAsia="Times New Roman" w:hAnsi="Arial" w:cs="Arial"/>
          <w:sz w:val="20"/>
          <w:szCs w:val="20"/>
        </w:rPr>
        <w:t>Medical</w:t>
      </w:r>
      <w:r w:rsidR="009B4C4A">
        <w:rPr>
          <w:rFonts w:ascii="Arial" w:eastAsia="Times New Roman" w:hAnsi="Arial" w:cs="Arial"/>
          <w:sz w:val="20"/>
          <w:szCs w:val="20"/>
        </w:rPr>
        <w:t>-</w:t>
      </w:r>
      <w:r w:rsidRPr="001E6CE2">
        <w:rPr>
          <w:rFonts w:ascii="Arial" w:eastAsia="Times New Roman" w:hAnsi="Arial" w:cs="Arial"/>
          <w:sz w:val="20"/>
          <w:szCs w:val="20"/>
        </w:rPr>
        <w:t xml:space="preserve">strength peels, despite their high levels of efficacy and safety, are not free of side effects. </w:t>
      </w:r>
      <w:r w:rsidRPr="001E6CE2">
        <w:rPr>
          <w:rFonts w:ascii="Arial" w:hAnsi="Arial" w:cs="Arial"/>
          <w:sz w:val="20"/>
          <w:szCs w:val="20"/>
        </w:rPr>
        <w:t>There may be some degree of discomfort</w:t>
      </w:r>
      <w:r w:rsidR="00871961">
        <w:rPr>
          <w:rFonts w:ascii="Arial" w:hAnsi="Arial" w:cs="Arial"/>
          <w:sz w:val="20"/>
          <w:szCs w:val="20"/>
        </w:rPr>
        <w:t>,</w:t>
      </w:r>
      <w:r w:rsidRPr="001E6CE2">
        <w:rPr>
          <w:rFonts w:ascii="Arial" w:hAnsi="Arial" w:cs="Arial"/>
          <w:sz w:val="20"/>
          <w:szCs w:val="20"/>
        </w:rPr>
        <w:t xml:space="preserve"> such as stinging, </w:t>
      </w:r>
      <w:r w:rsidR="00871961">
        <w:rPr>
          <w:rFonts w:ascii="Arial" w:hAnsi="Arial" w:cs="Arial"/>
          <w:sz w:val="20"/>
          <w:szCs w:val="20"/>
        </w:rPr>
        <w:t xml:space="preserve">a </w:t>
      </w:r>
      <w:r w:rsidRPr="001E6CE2">
        <w:rPr>
          <w:rFonts w:ascii="Arial" w:hAnsi="Arial" w:cs="Arial"/>
          <w:sz w:val="20"/>
          <w:szCs w:val="20"/>
        </w:rPr>
        <w:t xml:space="preserve">pin-prickling sensation, heat or tightness following the treatment. </w:t>
      </w:r>
      <w:r w:rsidRPr="001E6CE2">
        <w:rPr>
          <w:rFonts w:ascii="Arial" w:eastAsia="Times New Roman" w:hAnsi="Arial" w:cs="Arial"/>
          <w:sz w:val="20"/>
          <w:szCs w:val="20"/>
        </w:rPr>
        <w:t>Erythema (redness) and edema (swelling) of the treated area can occur</w:t>
      </w:r>
      <w:r w:rsidR="00871961">
        <w:rPr>
          <w:rFonts w:ascii="Arial" w:eastAsia="Times New Roman" w:hAnsi="Arial" w:cs="Arial"/>
          <w:sz w:val="20"/>
          <w:szCs w:val="20"/>
        </w:rPr>
        <w:t>; it</w:t>
      </w:r>
      <w:r w:rsidRPr="001E6CE2">
        <w:rPr>
          <w:rFonts w:ascii="Arial" w:eastAsia="Times New Roman" w:hAnsi="Arial" w:cs="Arial"/>
          <w:sz w:val="20"/>
          <w:szCs w:val="20"/>
        </w:rPr>
        <w:t xml:space="preserve"> usually subsides within a few hours</w:t>
      </w:r>
      <w:r w:rsidR="00871961">
        <w:rPr>
          <w:rFonts w:ascii="Arial" w:eastAsia="Times New Roman" w:hAnsi="Arial" w:cs="Arial"/>
          <w:sz w:val="20"/>
          <w:szCs w:val="20"/>
        </w:rPr>
        <w:t>,</w:t>
      </w:r>
      <w:r w:rsidRPr="001E6CE2">
        <w:rPr>
          <w:rFonts w:ascii="Arial" w:eastAsia="Times New Roman" w:hAnsi="Arial" w:cs="Arial"/>
          <w:sz w:val="20"/>
          <w:szCs w:val="20"/>
        </w:rPr>
        <w:t xml:space="preserve"> but</w:t>
      </w:r>
      <w:r w:rsidR="00871961">
        <w:rPr>
          <w:rFonts w:ascii="Arial" w:eastAsia="Times New Roman" w:hAnsi="Arial" w:cs="Arial"/>
          <w:sz w:val="20"/>
          <w:szCs w:val="20"/>
        </w:rPr>
        <w:t xml:space="preserve"> it</w:t>
      </w:r>
      <w:r w:rsidRPr="001E6CE2">
        <w:rPr>
          <w:rFonts w:ascii="Arial" w:eastAsia="Times New Roman" w:hAnsi="Arial" w:cs="Arial"/>
          <w:sz w:val="20"/>
          <w:szCs w:val="20"/>
        </w:rPr>
        <w:t xml:space="preserve"> can last up to seven days or longer. Irritation, itching and/or</w:t>
      </w:r>
      <w:r w:rsidR="00871961">
        <w:rPr>
          <w:rFonts w:ascii="Arial" w:eastAsia="Times New Roman" w:hAnsi="Arial" w:cs="Arial"/>
          <w:sz w:val="20"/>
          <w:szCs w:val="20"/>
        </w:rPr>
        <w:t xml:space="preserve"> a</w:t>
      </w:r>
      <w:r w:rsidRPr="001E6CE2">
        <w:rPr>
          <w:rFonts w:ascii="Arial" w:eastAsia="Times New Roman" w:hAnsi="Arial" w:cs="Arial"/>
          <w:sz w:val="20"/>
          <w:szCs w:val="20"/>
        </w:rPr>
        <w:t xml:space="preserve"> mild burning sensation or pain </w:t>
      </w:r>
      <w:proofErr w:type="gramStart"/>
      <w:r w:rsidRPr="001E6CE2">
        <w:rPr>
          <w:rFonts w:ascii="Arial" w:eastAsia="Times New Roman" w:hAnsi="Arial" w:cs="Arial"/>
          <w:sz w:val="20"/>
          <w:szCs w:val="20"/>
        </w:rPr>
        <w:t>similar to</w:t>
      </w:r>
      <w:proofErr w:type="gramEnd"/>
      <w:r w:rsidRPr="001E6CE2">
        <w:rPr>
          <w:rFonts w:ascii="Arial" w:eastAsia="Times New Roman" w:hAnsi="Arial" w:cs="Arial"/>
          <w:sz w:val="20"/>
          <w:szCs w:val="20"/>
        </w:rPr>
        <w:t xml:space="preserve"> sunburn may occur within 48 hours of treatment.</w:t>
      </w:r>
      <w:r w:rsidRPr="001E6CE2">
        <w:rPr>
          <w:rFonts w:ascii="Arial" w:eastAsia="MS Mincho" w:hAnsi="Arial" w:cs="Arial"/>
          <w:sz w:val="20"/>
          <w:szCs w:val="20"/>
        </w:rPr>
        <w:t xml:space="preserve"> </w:t>
      </w:r>
      <w:r w:rsidRPr="001E6CE2">
        <w:rPr>
          <w:rFonts w:ascii="Arial" w:eastAsia="Times New Roman" w:hAnsi="Arial" w:cs="Arial"/>
          <w:sz w:val="20"/>
          <w:szCs w:val="20"/>
        </w:rPr>
        <w:t>Complications can include whiteheads, cold sores, infection, scarring, numbness and permanent discoloration, particularly in people with dark skin.</w:t>
      </w:r>
      <w:r w:rsidRPr="001E6CE2">
        <w:rPr>
          <w:rFonts w:ascii="MS Gothic" w:eastAsia="MS Gothic" w:hAnsi="MS Gothic" w:cs="MS Gothic" w:hint="eastAsia"/>
          <w:sz w:val="20"/>
          <w:szCs w:val="20"/>
        </w:rPr>
        <w:t> </w:t>
      </w:r>
    </w:p>
    <w:p w14:paraId="314D0FEB" w14:textId="77777777" w:rsidR="00613367" w:rsidRPr="001E6CE2" w:rsidRDefault="00613367" w:rsidP="00D34357">
      <w:pPr>
        <w:pStyle w:val="Body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46140C" w14:textId="75AB41B2" w:rsidR="007A04CD" w:rsidRPr="001E6CE2" w:rsidRDefault="007A04CD" w:rsidP="00D34357">
      <w:pPr>
        <w:pStyle w:val="Body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E6CE2">
        <w:rPr>
          <w:rFonts w:ascii="Arial" w:eastAsia="Times New Roman" w:hAnsi="Arial" w:cs="Arial"/>
          <w:sz w:val="20"/>
          <w:szCs w:val="20"/>
        </w:rPr>
        <w:t>Pigmentary changes</w:t>
      </w:r>
      <w:r w:rsidR="0010232E">
        <w:rPr>
          <w:rFonts w:ascii="Arial" w:eastAsia="Times New Roman" w:hAnsi="Arial" w:cs="Arial"/>
          <w:sz w:val="20"/>
          <w:szCs w:val="20"/>
        </w:rPr>
        <w:t>,</w:t>
      </w:r>
      <w:r w:rsidRPr="001E6CE2">
        <w:rPr>
          <w:rFonts w:ascii="Arial" w:eastAsia="Times New Roman" w:hAnsi="Arial" w:cs="Arial"/>
          <w:sz w:val="20"/>
          <w:szCs w:val="20"/>
        </w:rPr>
        <w:t xml:space="preserve"> such as hyperpigmentation and hypopigmentation of the skin in the treated areas</w:t>
      </w:r>
      <w:r w:rsidR="0010232E">
        <w:rPr>
          <w:rFonts w:ascii="Arial" w:eastAsia="Times New Roman" w:hAnsi="Arial" w:cs="Arial"/>
          <w:sz w:val="20"/>
          <w:szCs w:val="20"/>
        </w:rPr>
        <w:t>,</w:t>
      </w:r>
      <w:r w:rsidRPr="001E6CE2">
        <w:rPr>
          <w:rFonts w:ascii="Arial" w:eastAsia="Times New Roman" w:hAnsi="Arial" w:cs="Arial"/>
          <w:sz w:val="20"/>
          <w:szCs w:val="20"/>
        </w:rPr>
        <w:t xml:space="preserve"> can</w:t>
      </w:r>
      <w:r w:rsidR="00613367" w:rsidRPr="001E6CE2">
        <w:rPr>
          <w:rFonts w:ascii="Arial" w:eastAsia="Times New Roman" w:hAnsi="Arial" w:cs="Arial"/>
          <w:sz w:val="20"/>
          <w:szCs w:val="20"/>
        </w:rPr>
        <w:t xml:space="preserve"> </w:t>
      </w:r>
      <w:r w:rsidRPr="001E6CE2">
        <w:rPr>
          <w:rFonts w:ascii="Arial" w:eastAsia="Times New Roman" w:hAnsi="Arial" w:cs="Arial"/>
          <w:sz w:val="20"/>
          <w:szCs w:val="20"/>
        </w:rPr>
        <w:t xml:space="preserve">occasionally occur. </w:t>
      </w:r>
      <w:r w:rsidR="00613367" w:rsidRPr="001E6CE2">
        <w:rPr>
          <w:rFonts w:ascii="Arial" w:eastAsia="Times New Roman" w:hAnsi="Arial" w:cs="Arial"/>
          <w:sz w:val="20"/>
          <w:szCs w:val="20"/>
        </w:rPr>
        <w:t>This is norma</w:t>
      </w:r>
      <w:r w:rsidR="0010232E">
        <w:rPr>
          <w:rFonts w:ascii="Arial" w:eastAsia="Times New Roman" w:hAnsi="Arial" w:cs="Arial"/>
          <w:sz w:val="20"/>
          <w:szCs w:val="20"/>
        </w:rPr>
        <w:t>l</w:t>
      </w:r>
      <w:r w:rsidR="00613367" w:rsidRPr="001E6CE2">
        <w:rPr>
          <w:rFonts w:ascii="Arial" w:eastAsia="Times New Roman" w:hAnsi="Arial" w:cs="Arial"/>
          <w:sz w:val="20"/>
          <w:szCs w:val="20"/>
        </w:rPr>
        <w:t>ly</w:t>
      </w:r>
      <w:r w:rsidRPr="001E6CE2">
        <w:rPr>
          <w:rFonts w:ascii="Arial" w:eastAsia="Times New Roman" w:hAnsi="Arial" w:cs="Arial"/>
          <w:sz w:val="20"/>
          <w:szCs w:val="20"/>
        </w:rPr>
        <w:t xml:space="preserve"> transient, lasting up to six months, but in rare cases</w:t>
      </w:r>
      <w:r w:rsidR="0010232E">
        <w:rPr>
          <w:rFonts w:ascii="Arial" w:eastAsia="Times New Roman" w:hAnsi="Arial" w:cs="Arial"/>
          <w:sz w:val="20"/>
          <w:szCs w:val="20"/>
        </w:rPr>
        <w:t>,</w:t>
      </w:r>
      <w:r w:rsidRPr="001E6CE2">
        <w:rPr>
          <w:rFonts w:ascii="Arial" w:eastAsia="Times New Roman" w:hAnsi="Arial" w:cs="Arial"/>
          <w:sz w:val="20"/>
          <w:szCs w:val="20"/>
        </w:rPr>
        <w:t xml:space="preserve"> it can be permanent. These</w:t>
      </w:r>
      <w:r w:rsidR="00613367" w:rsidRPr="001E6CE2">
        <w:rPr>
          <w:rFonts w:ascii="Arial" w:eastAsia="Times New Roman" w:hAnsi="Arial" w:cs="Arial"/>
          <w:sz w:val="20"/>
          <w:szCs w:val="20"/>
        </w:rPr>
        <w:t xml:space="preserve"> </w:t>
      </w:r>
      <w:r w:rsidRPr="001E6CE2">
        <w:rPr>
          <w:rFonts w:ascii="Arial" w:eastAsia="Times New Roman" w:hAnsi="Arial" w:cs="Arial"/>
          <w:sz w:val="20"/>
          <w:szCs w:val="20"/>
        </w:rPr>
        <w:t>pigmentary changes may occur despite appropriate protection from the sun</w:t>
      </w:r>
      <w:r w:rsidR="0010232E">
        <w:rPr>
          <w:rFonts w:ascii="Arial" w:eastAsia="Times New Roman" w:hAnsi="Arial" w:cs="Arial"/>
          <w:sz w:val="20"/>
          <w:szCs w:val="20"/>
        </w:rPr>
        <w:t>,</w:t>
      </w:r>
      <w:r w:rsidRPr="001E6CE2">
        <w:rPr>
          <w:rFonts w:ascii="Arial" w:eastAsia="Times New Roman" w:hAnsi="Arial" w:cs="Arial"/>
          <w:sz w:val="20"/>
          <w:szCs w:val="20"/>
        </w:rPr>
        <w:t xml:space="preserve"> so it is important to use sunscreen of</w:t>
      </w:r>
      <w:r w:rsidR="00613367" w:rsidRPr="001E6CE2">
        <w:rPr>
          <w:rFonts w:ascii="Arial" w:eastAsia="Times New Roman" w:hAnsi="Arial" w:cs="Arial"/>
          <w:sz w:val="20"/>
          <w:szCs w:val="20"/>
        </w:rPr>
        <w:t xml:space="preserve"> </w:t>
      </w:r>
      <w:r w:rsidRPr="001E6CE2">
        <w:rPr>
          <w:rFonts w:ascii="Arial" w:eastAsia="Times New Roman" w:hAnsi="Arial" w:cs="Arial"/>
          <w:sz w:val="20"/>
          <w:szCs w:val="20"/>
        </w:rPr>
        <w:t>SPF 30 or greater when exposed to the sun.</w:t>
      </w:r>
      <w:r w:rsidRPr="001E6CE2">
        <w:rPr>
          <w:rFonts w:ascii="MS Gothic" w:eastAsia="MS Gothic" w:hAnsi="MS Gothic" w:cs="MS Gothic" w:hint="eastAsia"/>
          <w:sz w:val="20"/>
          <w:szCs w:val="20"/>
        </w:rPr>
        <w:t> </w:t>
      </w:r>
      <w:r w:rsidR="00E13C16" w:rsidRPr="001E6CE2">
        <w:rPr>
          <w:rFonts w:ascii="Arial" w:eastAsia="MS Mincho" w:hAnsi="Arial" w:cs="Arial"/>
          <w:sz w:val="20"/>
          <w:szCs w:val="20"/>
        </w:rPr>
        <w:t xml:space="preserve">Tanning beds and prolonged exposure should be avoided prior to treatment and until the skin has fully healed. </w:t>
      </w:r>
    </w:p>
    <w:p w14:paraId="23B8ADA4" w14:textId="255D578C" w:rsidR="00942590" w:rsidRPr="001E6CE2" w:rsidRDefault="00942590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597979" w14:textId="558C2C2E" w:rsidR="00897006" w:rsidRPr="001E6CE2" w:rsidRDefault="00AD7356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CE2">
        <w:rPr>
          <w:rFonts w:ascii="Arial" w:hAnsi="Arial" w:cs="Arial"/>
          <w:sz w:val="20"/>
          <w:szCs w:val="20"/>
        </w:rPr>
        <w:t>I acknowledge that while good results are expected</w:t>
      </w:r>
      <w:r w:rsidR="006C5AB7">
        <w:rPr>
          <w:rFonts w:ascii="Arial" w:hAnsi="Arial" w:cs="Arial"/>
          <w:sz w:val="20"/>
          <w:szCs w:val="20"/>
        </w:rPr>
        <w:t>,</w:t>
      </w:r>
      <w:r w:rsidRPr="001E6CE2">
        <w:rPr>
          <w:rFonts w:ascii="Arial" w:hAnsi="Arial" w:cs="Arial"/>
          <w:sz w:val="20"/>
          <w:szCs w:val="20"/>
        </w:rPr>
        <w:t xml:space="preserve"> I may be disappointed with the results of the procedure. I understand there is no guarantee of results </w:t>
      </w:r>
      <w:r w:rsidR="008718FF">
        <w:rPr>
          <w:rFonts w:ascii="Arial" w:hAnsi="Arial" w:cs="Arial"/>
          <w:sz w:val="20"/>
          <w:szCs w:val="20"/>
        </w:rPr>
        <w:t>from</w:t>
      </w:r>
      <w:r w:rsidRPr="001E6CE2">
        <w:rPr>
          <w:rFonts w:ascii="Arial" w:hAnsi="Arial" w:cs="Arial"/>
          <w:sz w:val="20"/>
          <w:szCs w:val="20"/>
        </w:rPr>
        <w:t xml:space="preserve"> any treatment. </w:t>
      </w:r>
      <w:r w:rsidR="00897006" w:rsidRPr="001E6CE2">
        <w:rPr>
          <w:rFonts w:ascii="Arial" w:hAnsi="Arial" w:cs="Arial"/>
          <w:sz w:val="20"/>
          <w:szCs w:val="20"/>
        </w:rPr>
        <w:t xml:space="preserve">Even though appropriate measures are taken to reduce side effects, they cannot be </w:t>
      </w:r>
      <w:proofErr w:type="gramStart"/>
      <w:r w:rsidR="00897006" w:rsidRPr="001E6CE2">
        <w:rPr>
          <w:rFonts w:ascii="Arial" w:hAnsi="Arial" w:cs="Arial"/>
          <w:sz w:val="20"/>
          <w:szCs w:val="20"/>
        </w:rPr>
        <w:t>completely eliminated</w:t>
      </w:r>
      <w:proofErr w:type="gramEnd"/>
      <w:r w:rsidR="00897006" w:rsidRPr="001E6CE2">
        <w:rPr>
          <w:rFonts w:ascii="Arial" w:hAnsi="Arial" w:cs="Arial"/>
          <w:sz w:val="20"/>
          <w:szCs w:val="20"/>
        </w:rPr>
        <w:t xml:space="preserve"> in every case. I understand that the treatment may involve risks of complication or injury from both </w:t>
      </w:r>
      <w:r w:rsidRPr="001E6CE2">
        <w:rPr>
          <w:rFonts w:ascii="Arial" w:hAnsi="Arial" w:cs="Arial"/>
          <w:sz w:val="20"/>
          <w:szCs w:val="20"/>
        </w:rPr>
        <w:t>known and unknown causes</w:t>
      </w:r>
      <w:r w:rsidR="00897006" w:rsidRPr="001E6CE2">
        <w:rPr>
          <w:rFonts w:ascii="Arial" w:hAnsi="Arial" w:cs="Arial"/>
          <w:sz w:val="20"/>
          <w:szCs w:val="20"/>
        </w:rPr>
        <w:t xml:space="preserve">. </w:t>
      </w:r>
      <w:r w:rsidRPr="001E6CE2">
        <w:rPr>
          <w:rFonts w:ascii="Arial" w:hAnsi="Arial" w:cs="Arial"/>
          <w:sz w:val="20"/>
          <w:szCs w:val="20"/>
        </w:rPr>
        <w:t>I agree to follow the pre</w:t>
      </w:r>
      <w:r w:rsidR="008718FF">
        <w:rPr>
          <w:rFonts w:ascii="Arial" w:hAnsi="Arial" w:cs="Arial"/>
          <w:sz w:val="20"/>
          <w:szCs w:val="20"/>
        </w:rPr>
        <w:t>-</w:t>
      </w:r>
      <w:r w:rsidRPr="001E6CE2">
        <w:rPr>
          <w:rFonts w:ascii="Arial" w:hAnsi="Arial" w:cs="Arial"/>
          <w:sz w:val="20"/>
          <w:szCs w:val="20"/>
        </w:rPr>
        <w:t xml:space="preserve"> and post</w:t>
      </w:r>
      <w:r w:rsidR="008718FF">
        <w:rPr>
          <w:rFonts w:ascii="Arial" w:hAnsi="Arial" w:cs="Arial"/>
          <w:sz w:val="20"/>
          <w:szCs w:val="20"/>
        </w:rPr>
        <w:t>-</w:t>
      </w:r>
      <w:r w:rsidRPr="001E6CE2">
        <w:rPr>
          <w:rFonts w:ascii="Arial" w:hAnsi="Arial" w:cs="Arial"/>
          <w:sz w:val="20"/>
          <w:szCs w:val="20"/>
        </w:rPr>
        <w:t xml:space="preserve">treatment instructions carefully. I understand </w:t>
      </w:r>
      <w:r w:rsidRPr="001E6CE2">
        <w:rPr>
          <w:rFonts w:ascii="Arial" w:hAnsi="Arial" w:cs="Arial"/>
          <w:sz w:val="20"/>
          <w:szCs w:val="20"/>
        </w:rPr>
        <w:lastRenderedPageBreak/>
        <w:t>that compliance with the recommended pre</w:t>
      </w:r>
      <w:r w:rsidR="008718FF">
        <w:rPr>
          <w:rFonts w:ascii="Arial" w:hAnsi="Arial" w:cs="Arial"/>
          <w:sz w:val="20"/>
          <w:szCs w:val="20"/>
        </w:rPr>
        <w:t>-</w:t>
      </w:r>
      <w:r w:rsidRPr="001E6CE2">
        <w:rPr>
          <w:rFonts w:ascii="Arial" w:hAnsi="Arial" w:cs="Arial"/>
          <w:sz w:val="20"/>
          <w:szCs w:val="20"/>
        </w:rPr>
        <w:t xml:space="preserve"> and post</w:t>
      </w:r>
      <w:r w:rsidR="008718FF">
        <w:rPr>
          <w:rFonts w:ascii="Arial" w:hAnsi="Arial" w:cs="Arial"/>
          <w:sz w:val="20"/>
          <w:szCs w:val="20"/>
        </w:rPr>
        <w:t>-</w:t>
      </w:r>
      <w:r w:rsidRPr="001E6CE2">
        <w:rPr>
          <w:rFonts w:ascii="Arial" w:hAnsi="Arial" w:cs="Arial"/>
          <w:sz w:val="20"/>
          <w:szCs w:val="20"/>
        </w:rPr>
        <w:t>procedure guidelines is</w:t>
      </w:r>
      <w:r w:rsidR="00E13C16" w:rsidRPr="001E6CE2">
        <w:rPr>
          <w:rFonts w:ascii="Arial" w:hAnsi="Arial" w:cs="Arial"/>
          <w:sz w:val="20"/>
          <w:szCs w:val="20"/>
        </w:rPr>
        <w:t xml:space="preserve"> crucial for healing and</w:t>
      </w:r>
      <w:r w:rsidRPr="001E6CE2">
        <w:rPr>
          <w:rFonts w:ascii="Arial" w:hAnsi="Arial" w:cs="Arial"/>
          <w:sz w:val="20"/>
          <w:szCs w:val="20"/>
        </w:rPr>
        <w:t xml:space="preserve"> reducing the risk </w:t>
      </w:r>
      <w:r w:rsidR="001C712F" w:rsidRPr="001E6CE2">
        <w:rPr>
          <w:rFonts w:ascii="Arial" w:hAnsi="Arial" w:cs="Arial"/>
          <w:sz w:val="20"/>
          <w:szCs w:val="20"/>
        </w:rPr>
        <w:t>of</w:t>
      </w:r>
      <w:r w:rsidRPr="001E6CE2">
        <w:rPr>
          <w:rFonts w:ascii="Arial" w:hAnsi="Arial" w:cs="Arial"/>
          <w:sz w:val="20"/>
          <w:szCs w:val="20"/>
        </w:rPr>
        <w:t xml:space="preserve"> complications.</w:t>
      </w:r>
    </w:p>
    <w:p w14:paraId="3EBE50EB" w14:textId="77777777" w:rsidR="00897006" w:rsidRPr="001E6CE2" w:rsidRDefault="00897006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9766C4" w14:textId="6BB3C3AB" w:rsidR="00897006" w:rsidRDefault="00897006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CE2">
        <w:rPr>
          <w:rFonts w:ascii="Arial" w:hAnsi="Arial" w:cs="Arial"/>
          <w:sz w:val="20"/>
          <w:szCs w:val="20"/>
        </w:rPr>
        <w:t>I am aware that follow-up</w:t>
      </w:r>
      <w:r w:rsidR="0034129D" w:rsidRPr="001E6CE2">
        <w:rPr>
          <w:rFonts w:ascii="Arial" w:hAnsi="Arial" w:cs="Arial"/>
          <w:sz w:val="20"/>
          <w:szCs w:val="20"/>
        </w:rPr>
        <w:t xml:space="preserve"> </w:t>
      </w:r>
      <w:r w:rsidRPr="001E6CE2">
        <w:rPr>
          <w:rFonts w:ascii="Arial" w:hAnsi="Arial" w:cs="Arial"/>
          <w:sz w:val="20"/>
          <w:szCs w:val="20"/>
        </w:rPr>
        <w:t xml:space="preserve">treatments may be necessary for desired results. Clinical results will vary per patient. </w:t>
      </w:r>
      <w:r w:rsidR="00AD7356" w:rsidRPr="001E6CE2">
        <w:rPr>
          <w:rFonts w:ascii="Arial" w:hAnsi="Arial" w:cs="Arial"/>
          <w:sz w:val="20"/>
          <w:szCs w:val="20"/>
        </w:rPr>
        <w:t>There</w:t>
      </w:r>
      <w:r w:rsidR="001C712F" w:rsidRPr="001E6CE2">
        <w:rPr>
          <w:rFonts w:ascii="Arial" w:hAnsi="Arial" w:cs="Arial"/>
          <w:sz w:val="20"/>
          <w:szCs w:val="20"/>
        </w:rPr>
        <w:t xml:space="preserve"> may be other treatment options t</w:t>
      </w:r>
      <w:r w:rsidR="008718FF">
        <w:rPr>
          <w:rFonts w:ascii="Arial" w:hAnsi="Arial" w:cs="Arial"/>
          <w:sz w:val="20"/>
          <w:szCs w:val="20"/>
        </w:rPr>
        <w:t>hat</w:t>
      </w:r>
      <w:r w:rsidR="001C712F" w:rsidRPr="001E6CE2">
        <w:rPr>
          <w:rFonts w:ascii="Arial" w:hAnsi="Arial" w:cs="Arial"/>
          <w:sz w:val="20"/>
          <w:szCs w:val="20"/>
        </w:rPr>
        <w:t xml:space="preserve"> achieve similar </w:t>
      </w:r>
      <w:r w:rsidR="008718FF">
        <w:rPr>
          <w:rFonts w:ascii="Arial" w:hAnsi="Arial" w:cs="Arial"/>
          <w:sz w:val="20"/>
          <w:szCs w:val="20"/>
        </w:rPr>
        <w:t>results</w:t>
      </w:r>
      <w:r w:rsidR="001C712F" w:rsidRPr="001E6CE2">
        <w:rPr>
          <w:rFonts w:ascii="Arial" w:hAnsi="Arial" w:cs="Arial"/>
          <w:sz w:val="20"/>
          <w:szCs w:val="20"/>
        </w:rPr>
        <w:t>, and I have discussed these</w:t>
      </w:r>
      <w:r w:rsidR="00AD7356" w:rsidRPr="001E6CE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D7356" w:rsidRPr="001E6CE2">
        <w:rPr>
          <w:rFonts w:ascii="Arial" w:hAnsi="Arial" w:cs="Arial"/>
          <w:sz w:val="20"/>
          <w:szCs w:val="20"/>
        </w:rPr>
        <w:t>With this in mind, I</w:t>
      </w:r>
      <w:proofErr w:type="gramEnd"/>
      <w:r w:rsidR="00AD7356" w:rsidRPr="001E6CE2">
        <w:rPr>
          <w:rFonts w:ascii="Arial" w:hAnsi="Arial" w:cs="Arial"/>
          <w:sz w:val="20"/>
          <w:szCs w:val="20"/>
        </w:rPr>
        <w:t xml:space="preserve"> am choosing</w:t>
      </w:r>
      <w:r w:rsidR="001C712F" w:rsidRPr="001E6CE2">
        <w:rPr>
          <w:rFonts w:ascii="Arial" w:hAnsi="Arial" w:cs="Arial"/>
          <w:sz w:val="20"/>
          <w:szCs w:val="20"/>
        </w:rPr>
        <w:t xml:space="preserve"> this non-invasive treatment using </w:t>
      </w:r>
      <w:r w:rsidR="008718FF">
        <w:rPr>
          <w:rFonts w:ascii="Arial" w:hAnsi="Arial" w:cs="Arial"/>
          <w:sz w:val="20"/>
          <w:szCs w:val="20"/>
        </w:rPr>
        <w:t>chemical peels</w:t>
      </w:r>
      <w:r w:rsidR="00AD7356" w:rsidRPr="001E6CE2">
        <w:rPr>
          <w:rFonts w:ascii="Arial" w:hAnsi="Arial" w:cs="Arial"/>
          <w:sz w:val="20"/>
          <w:szCs w:val="20"/>
        </w:rPr>
        <w:t xml:space="preserve">. </w:t>
      </w:r>
      <w:r w:rsidRPr="001E6CE2">
        <w:rPr>
          <w:rFonts w:ascii="Arial" w:hAnsi="Arial" w:cs="Arial"/>
          <w:sz w:val="20"/>
          <w:szCs w:val="20"/>
        </w:rPr>
        <w:t>The nature</w:t>
      </w:r>
      <w:r w:rsidR="00AD7356" w:rsidRPr="001E6CE2">
        <w:rPr>
          <w:rFonts w:ascii="Arial" w:hAnsi="Arial" w:cs="Arial"/>
          <w:sz w:val="20"/>
          <w:szCs w:val="20"/>
        </w:rPr>
        <w:t>, risks</w:t>
      </w:r>
      <w:r w:rsidRPr="001E6CE2">
        <w:rPr>
          <w:rFonts w:ascii="Arial" w:hAnsi="Arial" w:cs="Arial"/>
          <w:sz w:val="20"/>
          <w:szCs w:val="20"/>
        </w:rPr>
        <w:t xml:space="preserve"> and purpose of the treat</w:t>
      </w:r>
      <w:r w:rsidR="00AD7356" w:rsidRPr="001E6CE2">
        <w:rPr>
          <w:rFonts w:ascii="Arial" w:hAnsi="Arial" w:cs="Arial"/>
          <w:sz w:val="20"/>
          <w:szCs w:val="20"/>
        </w:rPr>
        <w:t>ment have been explained to me</w:t>
      </w:r>
      <w:r w:rsidR="008718FF">
        <w:rPr>
          <w:rFonts w:ascii="Arial" w:hAnsi="Arial" w:cs="Arial"/>
          <w:sz w:val="20"/>
          <w:szCs w:val="20"/>
        </w:rPr>
        <w:t>,</w:t>
      </w:r>
      <w:r w:rsidR="00AD7356" w:rsidRPr="001E6CE2">
        <w:rPr>
          <w:rFonts w:ascii="Arial" w:hAnsi="Arial" w:cs="Arial"/>
          <w:sz w:val="20"/>
          <w:szCs w:val="20"/>
        </w:rPr>
        <w:t xml:space="preserve"> and all</w:t>
      </w:r>
      <w:r w:rsidRPr="001E6CE2">
        <w:rPr>
          <w:rFonts w:ascii="Arial" w:hAnsi="Arial" w:cs="Arial"/>
          <w:sz w:val="20"/>
          <w:szCs w:val="20"/>
        </w:rPr>
        <w:t xml:space="preserve"> my</w:t>
      </w:r>
      <w:r w:rsidR="0034129D" w:rsidRPr="001E6CE2">
        <w:rPr>
          <w:rFonts w:ascii="Arial" w:hAnsi="Arial" w:cs="Arial"/>
          <w:sz w:val="20"/>
          <w:szCs w:val="20"/>
        </w:rPr>
        <w:t xml:space="preserve"> </w:t>
      </w:r>
      <w:r w:rsidRPr="001E6CE2">
        <w:rPr>
          <w:rFonts w:ascii="Arial" w:hAnsi="Arial" w:cs="Arial"/>
          <w:sz w:val="20"/>
          <w:szCs w:val="20"/>
        </w:rPr>
        <w:t>questions have been answered to my sa</w:t>
      </w:r>
      <w:r w:rsidR="00AD7356" w:rsidRPr="001E6CE2">
        <w:rPr>
          <w:rFonts w:ascii="Arial" w:hAnsi="Arial" w:cs="Arial"/>
          <w:sz w:val="20"/>
          <w:szCs w:val="20"/>
        </w:rPr>
        <w:t xml:space="preserve">tisfaction. </w:t>
      </w:r>
      <w:r w:rsidR="00D210BC" w:rsidRPr="001E6CE2">
        <w:rPr>
          <w:rFonts w:ascii="Arial" w:hAnsi="Arial" w:cs="Arial"/>
          <w:sz w:val="20"/>
          <w:szCs w:val="20"/>
        </w:rPr>
        <w:t>I</w:t>
      </w:r>
      <w:r w:rsidR="00AD7356" w:rsidRPr="001E6CE2">
        <w:rPr>
          <w:rFonts w:ascii="Arial" w:hAnsi="Arial" w:cs="Arial"/>
          <w:sz w:val="20"/>
          <w:szCs w:val="20"/>
        </w:rPr>
        <w:t>,</w:t>
      </w:r>
      <w:r w:rsidR="00D210BC" w:rsidRPr="001E6CE2">
        <w:rPr>
          <w:rFonts w:ascii="Arial" w:hAnsi="Arial" w:cs="Arial"/>
          <w:sz w:val="20"/>
          <w:szCs w:val="20"/>
        </w:rPr>
        <w:t xml:space="preserve"> </w:t>
      </w:r>
      <w:r w:rsidR="00AD7356" w:rsidRPr="001E6CE2">
        <w:rPr>
          <w:rFonts w:ascii="Arial" w:hAnsi="Arial" w:cs="Arial"/>
          <w:sz w:val="20"/>
          <w:szCs w:val="20"/>
        </w:rPr>
        <w:t xml:space="preserve">therefore, </w:t>
      </w:r>
      <w:r w:rsidR="00D210BC" w:rsidRPr="001E6CE2">
        <w:rPr>
          <w:rFonts w:ascii="Arial" w:hAnsi="Arial" w:cs="Arial"/>
          <w:sz w:val="20"/>
          <w:szCs w:val="20"/>
        </w:rPr>
        <w:t>consent to this treatment</w:t>
      </w:r>
      <w:r w:rsidRPr="001E6CE2">
        <w:rPr>
          <w:rFonts w:ascii="Arial" w:hAnsi="Arial" w:cs="Arial"/>
          <w:sz w:val="20"/>
          <w:szCs w:val="20"/>
        </w:rPr>
        <w:t>.</w:t>
      </w:r>
    </w:p>
    <w:p w14:paraId="6A6664BD" w14:textId="77777777" w:rsidR="008718FF" w:rsidRPr="001E6CE2" w:rsidRDefault="008718FF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4E2B19" w14:textId="166C5DD9" w:rsidR="00897006" w:rsidRPr="001E6CE2" w:rsidRDefault="00897006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CE2">
        <w:rPr>
          <w:rFonts w:ascii="Arial" w:hAnsi="Arial" w:cs="Arial"/>
          <w:sz w:val="20"/>
          <w:szCs w:val="20"/>
        </w:rPr>
        <w:t>Printed Name:________________________________________</w:t>
      </w:r>
      <w:r w:rsidR="0086696C">
        <w:rPr>
          <w:rFonts w:ascii="Arial" w:hAnsi="Arial" w:cs="Arial"/>
          <w:sz w:val="20"/>
          <w:szCs w:val="20"/>
        </w:rPr>
        <w:t>_______________________</w:t>
      </w:r>
    </w:p>
    <w:p w14:paraId="7733EC05" w14:textId="77777777" w:rsidR="00AD7356" w:rsidRPr="001E6CE2" w:rsidRDefault="00AD7356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415B59" w14:textId="357C28BF" w:rsidR="00CC44FE" w:rsidRPr="001E6CE2" w:rsidRDefault="00897006" w:rsidP="00D34357">
      <w:pPr>
        <w:pStyle w:val="Bod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6CE2">
        <w:rPr>
          <w:rFonts w:ascii="Arial" w:hAnsi="Arial" w:cs="Arial"/>
          <w:sz w:val="20"/>
          <w:szCs w:val="20"/>
        </w:rPr>
        <w:t>Signature:___________________________________________ Date:___________________</w:t>
      </w:r>
    </w:p>
    <w:sectPr w:rsidR="00CC44FE" w:rsidRPr="001E6CE2" w:rsidSect="00897006">
      <w:headerReference w:type="default" r:id="rId11"/>
      <w:footerReference w:type="default" r:id="rId12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BF6C" w14:textId="77777777" w:rsidR="00C91D17" w:rsidRDefault="00C91D17">
      <w:r>
        <w:separator/>
      </w:r>
    </w:p>
  </w:endnote>
  <w:endnote w:type="continuationSeparator" w:id="0">
    <w:p w14:paraId="431542E1" w14:textId="77777777" w:rsidR="00C91D17" w:rsidRDefault="00C9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3598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908532" w14:textId="1739E7FC" w:rsidR="00CC44FE" w:rsidRDefault="005E1722">
            <w:pPr>
              <w:pStyle w:val="HeaderFooter"/>
              <w:tabs>
                <w:tab w:val="clear" w:pos="9020"/>
                <w:tab w:val="center" w:pos="4680"/>
                <w:tab w:val="right" w:pos="9360"/>
              </w:tabs>
            </w:pPr>
            <w:r>
              <w:br/>
            </w:r>
            <w:r w:rsidRPr="005E1722">
              <w:rPr>
                <w:rFonts w:ascii="Arial" w:hAnsi="Arial" w:cs="Arial"/>
                <w:i/>
                <w:iCs/>
                <w:sz w:val="20"/>
                <w:szCs w:val="20"/>
              </w:rPr>
              <w:t>Chemical Peel Informed Consent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A35F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Page </w:t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A35F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Pr="00A35F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9904" w14:textId="77777777" w:rsidR="00C91D17" w:rsidRDefault="00C91D17">
      <w:r>
        <w:separator/>
      </w:r>
    </w:p>
  </w:footnote>
  <w:footnote w:type="continuationSeparator" w:id="0">
    <w:p w14:paraId="66F11E3B" w14:textId="77777777" w:rsidR="00C91D17" w:rsidRDefault="00C9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A088" w14:textId="5651ECF8" w:rsidR="00D34357" w:rsidRPr="00D34357" w:rsidRDefault="00C02B0C" w:rsidP="00D34357">
    <w:pPr>
      <w:pStyle w:val="Header"/>
      <w:jc w:val="center"/>
      <w:rPr>
        <w:rFonts w:ascii="Arial" w:hAnsi="Arial" w:cs="Arial"/>
        <w:b/>
        <w:bCs/>
        <w:i/>
        <w:iCs/>
        <w:sz w:val="32"/>
        <w:szCs w:val="32"/>
      </w:rPr>
    </w:pPr>
    <w:r>
      <w:rPr>
        <w:noProof/>
      </w:rPr>
      <w:drawing>
        <wp:inline distT="0" distB="0" distL="0" distR="0" wp14:anchorId="1FFCCBC6" wp14:editId="29700762">
          <wp:extent cx="1975275" cy="731584"/>
          <wp:effectExtent l="0" t="0" r="0" b="0"/>
          <wp:docPr id="1320278415" name="Picture 132027841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278415" name="Picture 132027841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75" cy="73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4pt;height:20.4pt;visibility:visible" o:bullet="t">
        <v:imagedata r:id="rId1" o:title="bullet_circle-blk"/>
      </v:shape>
    </w:pict>
  </w:numPicBullet>
  <w:abstractNum w:abstractNumId="0" w15:restartNumberingAfterBreak="0">
    <w:nsid w:val="6EEB0223"/>
    <w:multiLevelType w:val="hybridMultilevel"/>
    <w:tmpl w:val="4476D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A4990"/>
    <w:multiLevelType w:val="hybridMultilevel"/>
    <w:tmpl w:val="C5AE16B6"/>
    <w:lvl w:ilvl="0" w:tplc="A928D418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7423174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84BC9F36">
      <w:start w:val="1"/>
      <w:numFmt w:val="bullet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5C7EBDF0">
      <w:start w:val="1"/>
      <w:numFmt w:val="bullet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2CD43F86">
      <w:start w:val="1"/>
      <w:numFmt w:val="bullet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84C4C356">
      <w:start w:val="1"/>
      <w:numFmt w:val="bullet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2FAC5254">
      <w:start w:val="1"/>
      <w:numFmt w:val="bullet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CBCE3C86">
      <w:start w:val="1"/>
      <w:numFmt w:val="bullet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5E6E22FE">
      <w:start w:val="1"/>
      <w:numFmt w:val="bullet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num w:numId="1" w16cid:durableId="298074679">
    <w:abstractNumId w:val="1"/>
  </w:num>
  <w:num w:numId="2" w16cid:durableId="198719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FE"/>
    <w:rsid w:val="00051B54"/>
    <w:rsid w:val="000F621D"/>
    <w:rsid w:val="000F6A3D"/>
    <w:rsid w:val="0010232E"/>
    <w:rsid w:val="00104938"/>
    <w:rsid w:val="001846CD"/>
    <w:rsid w:val="001C712F"/>
    <w:rsid w:val="001E6CE2"/>
    <w:rsid w:val="002464A0"/>
    <w:rsid w:val="00260D78"/>
    <w:rsid w:val="00280898"/>
    <w:rsid w:val="0029283C"/>
    <w:rsid w:val="00297220"/>
    <w:rsid w:val="0034129D"/>
    <w:rsid w:val="003432F3"/>
    <w:rsid w:val="003449BF"/>
    <w:rsid w:val="003C6BE6"/>
    <w:rsid w:val="004C7593"/>
    <w:rsid w:val="005D1E7A"/>
    <w:rsid w:val="005E1722"/>
    <w:rsid w:val="005E5F18"/>
    <w:rsid w:val="005F5FC6"/>
    <w:rsid w:val="00613367"/>
    <w:rsid w:val="00654F35"/>
    <w:rsid w:val="006C5AB7"/>
    <w:rsid w:val="007A04CD"/>
    <w:rsid w:val="00805743"/>
    <w:rsid w:val="0086696C"/>
    <w:rsid w:val="008718FF"/>
    <w:rsid w:val="00871961"/>
    <w:rsid w:val="00894A39"/>
    <w:rsid w:val="00897006"/>
    <w:rsid w:val="00942590"/>
    <w:rsid w:val="0095040B"/>
    <w:rsid w:val="009B4C4A"/>
    <w:rsid w:val="00A30C7A"/>
    <w:rsid w:val="00AD7356"/>
    <w:rsid w:val="00BC6A6B"/>
    <w:rsid w:val="00C02B0C"/>
    <w:rsid w:val="00C22235"/>
    <w:rsid w:val="00C91D17"/>
    <w:rsid w:val="00CC44FE"/>
    <w:rsid w:val="00D210BC"/>
    <w:rsid w:val="00D34357"/>
    <w:rsid w:val="00D462AA"/>
    <w:rsid w:val="00DC2E11"/>
    <w:rsid w:val="00E13C16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85A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0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8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0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89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45D11A5137842B644FE153B416597" ma:contentTypeVersion="13" ma:contentTypeDescription="Create a new document." ma:contentTypeScope="" ma:versionID="e0e67f80a7dbb4a0b72bae96b80c7851">
  <xsd:schema xmlns:xsd="http://www.w3.org/2001/XMLSchema" xmlns:xs="http://www.w3.org/2001/XMLSchema" xmlns:p="http://schemas.microsoft.com/office/2006/metadata/properties" xmlns:ns2="9ed69905-29ae-415d-ac59-8fb5f417459c" xmlns:ns3="21c42b31-c109-4f33-8fde-40fbebcd2910" targetNamespace="http://schemas.microsoft.com/office/2006/metadata/properties" ma:root="true" ma:fieldsID="33e30adf7fa6bcba4c375350aa5699d3" ns2:_="" ns3:_="">
    <xsd:import namespace="9ed69905-29ae-415d-ac59-8fb5f417459c"/>
    <xsd:import namespace="21c42b31-c109-4f33-8fde-40fbebcd29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905-29ae-415d-ac59-8fb5f4174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2b31-c109-4f33-8fde-40fbebcd2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2EC7E3-9D28-4DB8-A58C-BAF221DBF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827DD-8C0B-4F81-A939-BD43AA44F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69905-29ae-415d-ac59-8fb5f417459c"/>
    <ds:schemaRef ds:uri="21c42b31-c109-4f33-8fde-40fbebcd2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BC28C-BBE8-49C1-A7E1-B329B89337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ProCirrus Technologies, Inc.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O'Brien</dc:creator>
  <cp:lastModifiedBy>Kristal Anguiano</cp:lastModifiedBy>
  <cp:revision>3</cp:revision>
  <dcterms:created xsi:type="dcterms:W3CDTF">2020-08-25T16:20:00Z</dcterms:created>
  <dcterms:modified xsi:type="dcterms:W3CDTF">2025-01-15T21:57:00Z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0x01010085445D11A5137842B644FE153B416597</vt:lpwstr>
  </property>
</Properties>
</file>